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F6F1F" w:rsidRPr="000657FA" w:rsidRDefault="005F6F1F" w:rsidP="008724BF">
      <w:pPr>
        <w:spacing w:line="480" w:lineRule="auto"/>
        <w:contextualSpacing/>
        <w:jc w:val="center"/>
      </w:pPr>
    </w:p>
    <w:p w:rsidR="005F6F1F" w:rsidRPr="000657FA" w:rsidRDefault="005F6F1F" w:rsidP="008724BF">
      <w:pPr>
        <w:spacing w:line="480" w:lineRule="auto"/>
        <w:contextualSpacing/>
        <w:jc w:val="center"/>
      </w:pPr>
    </w:p>
    <w:p w:rsidR="005F6F1F" w:rsidRPr="000657FA" w:rsidRDefault="005F6F1F" w:rsidP="008724BF">
      <w:pPr>
        <w:spacing w:line="480" w:lineRule="auto"/>
        <w:contextualSpacing/>
        <w:jc w:val="center"/>
      </w:pPr>
    </w:p>
    <w:p w:rsidR="005F6F1F" w:rsidRPr="00977B55" w:rsidRDefault="005F6F1F" w:rsidP="008724BF">
      <w:pPr>
        <w:spacing w:line="480" w:lineRule="auto"/>
        <w:contextualSpacing/>
        <w:rPr>
          <w:b/>
        </w:rPr>
      </w:pPr>
    </w:p>
    <w:p w:rsidR="005F6F1F" w:rsidRPr="000657FA" w:rsidRDefault="005F6F1F" w:rsidP="008724BF">
      <w:pPr>
        <w:spacing w:line="480" w:lineRule="auto"/>
        <w:contextualSpacing/>
        <w:jc w:val="center"/>
      </w:pPr>
    </w:p>
    <w:p w:rsidR="005F6F1F" w:rsidRPr="000657FA" w:rsidRDefault="005F6F1F" w:rsidP="008724BF">
      <w:pPr>
        <w:spacing w:line="480" w:lineRule="auto"/>
        <w:contextualSpacing/>
        <w:jc w:val="center"/>
      </w:pPr>
    </w:p>
    <w:p w:rsidR="00A51BD8" w:rsidRPr="000657FA" w:rsidRDefault="00A51BD8" w:rsidP="008724BF">
      <w:pPr>
        <w:spacing w:line="480" w:lineRule="auto"/>
        <w:contextualSpacing/>
        <w:jc w:val="center"/>
      </w:pPr>
    </w:p>
    <w:p w:rsidR="00A51BD8" w:rsidRPr="000657FA" w:rsidRDefault="00A51BD8" w:rsidP="008724BF">
      <w:pPr>
        <w:spacing w:line="480" w:lineRule="auto"/>
        <w:contextualSpacing/>
        <w:rPr>
          <w:color w:val="000000"/>
          <w:szCs w:val="24"/>
        </w:rPr>
      </w:pPr>
    </w:p>
    <w:p w:rsidR="005F6F1F" w:rsidRPr="000657FA" w:rsidRDefault="005F6F1F" w:rsidP="008724BF">
      <w:pPr>
        <w:spacing w:line="480" w:lineRule="auto"/>
        <w:contextualSpacing/>
        <w:jc w:val="center"/>
        <w:rPr>
          <w:color w:val="000000"/>
          <w:szCs w:val="24"/>
        </w:rPr>
      </w:pPr>
    </w:p>
    <w:p w:rsidR="005F6F1F" w:rsidRPr="000657FA" w:rsidRDefault="005F6F1F" w:rsidP="008724BF">
      <w:pPr>
        <w:spacing w:line="480" w:lineRule="auto"/>
        <w:contextualSpacing/>
        <w:jc w:val="center"/>
        <w:rPr>
          <w:color w:val="000000"/>
          <w:szCs w:val="24"/>
        </w:rPr>
      </w:pPr>
    </w:p>
    <w:p w:rsidR="005F6F1F" w:rsidRPr="000657FA" w:rsidRDefault="005F6F1F" w:rsidP="008724BF">
      <w:pPr>
        <w:spacing w:line="480" w:lineRule="auto"/>
        <w:contextualSpacing/>
        <w:jc w:val="center"/>
        <w:rPr>
          <w:color w:val="000000"/>
          <w:szCs w:val="24"/>
        </w:rPr>
      </w:pPr>
    </w:p>
    <w:p w:rsidR="005F6F1F" w:rsidRPr="00977B55" w:rsidRDefault="005F6F1F" w:rsidP="008724BF">
      <w:pPr>
        <w:tabs>
          <w:tab w:val="left" w:pos="1875"/>
        </w:tabs>
        <w:spacing w:line="480" w:lineRule="auto"/>
        <w:contextualSpacing/>
        <w:jc w:val="center"/>
        <w:rPr>
          <w:b/>
          <w:color w:val="000000"/>
          <w:szCs w:val="24"/>
        </w:rPr>
      </w:pPr>
    </w:p>
    <w:p w:rsidR="005F6F1F" w:rsidRPr="000657FA" w:rsidRDefault="005F6F1F" w:rsidP="008724BF">
      <w:pPr>
        <w:tabs>
          <w:tab w:val="left" w:pos="1875"/>
        </w:tabs>
        <w:spacing w:line="480" w:lineRule="auto"/>
        <w:contextualSpacing/>
        <w:jc w:val="center"/>
        <w:rPr>
          <w:color w:val="000000"/>
          <w:szCs w:val="24"/>
        </w:rPr>
      </w:pPr>
    </w:p>
    <w:p w:rsidR="005F6F1F" w:rsidRPr="000657FA" w:rsidRDefault="005F6F1F" w:rsidP="008724BF">
      <w:pPr>
        <w:tabs>
          <w:tab w:val="left" w:pos="1875"/>
        </w:tabs>
        <w:spacing w:line="480" w:lineRule="auto"/>
        <w:contextualSpacing/>
        <w:jc w:val="center"/>
        <w:rPr>
          <w:color w:val="000000"/>
          <w:szCs w:val="24"/>
        </w:rPr>
      </w:pPr>
      <w:r w:rsidRPr="000657FA">
        <w:rPr>
          <w:color w:val="000000"/>
          <w:szCs w:val="24"/>
        </w:rPr>
        <w:t>Code + Course Name</w:t>
      </w:r>
    </w:p>
    <w:p w:rsidR="005F6F1F" w:rsidRPr="000657FA" w:rsidRDefault="005F6F1F" w:rsidP="008724BF">
      <w:pPr>
        <w:tabs>
          <w:tab w:val="left" w:pos="1875"/>
        </w:tabs>
        <w:spacing w:line="480" w:lineRule="auto"/>
        <w:contextualSpacing/>
        <w:jc w:val="center"/>
        <w:rPr>
          <w:color w:val="000000"/>
          <w:szCs w:val="24"/>
        </w:rPr>
      </w:pPr>
      <w:r w:rsidRPr="000657FA">
        <w:rPr>
          <w:color w:val="000000"/>
          <w:szCs w:val="24"/>
        </w:rPr>
        <w:t>Professor’s Name</w:t>
      </w:r>
    </w:p>
    <w:p w:rsidR="005F6F1F" w:rsidRPr="000657FA" w:rsidRDefault="005F6F1F" w:rsidP="008724BF">
      <w:pPr>
        <w:tabs>
          <w:tab w:val="left" w:pos="1875"/>
        </w:tabs>
        <w:spacing w:line="480" w:lineRule="auto"/>
        <w:contextualSpacing/>
        <w:jc w:val="center"/>
        <w:rPr>
          <w:color w:val="000000"/>
          <w:szCs w:val="24"/>
        </w:rPr>
      </w:pPr>
      <w:r w:rsidRPr="000657FA">
        <w:rPr>
          <w:color w:val="000000"/>
          <w:szCs w:val="24"/>
        </w:rPr>
        <w:t>University Name</w:t>
      </w:r>
    </w:p>
    <w:p w:rsidR="005F6F1F" w:rsidRPr="000657FA" w:rsidRDefault="005F6F1F" w:rsidP="008724BF">
      <w:pPr>
        <w:tabs>
          <w:tab w:val="left" w:pos="1875"/>
        </w:tabs>
        <w:spacing w:line="480" w:lineRule="auto"/>
        <w:contextualSpacing/>
        <w:jc w:val="center"/>
        <w:rPr>
          <w:color w:val="000000"/>
          <w:szCs w:val="24"/>
        </w:rPr>
      </w:pPr>
      <w:r w:rsidRPr="000657FA">
        <w:rPr>
          <w:color w:val="000000"/>
          <w:szCs w:val="24"/>
        </w:rPr>
        <w:t>City, State</w:t>
      </w:r>
    </w:p>
    <w:p w:rsidR="005F6F1F" w:rsidRPr="000657FA" w:rsidRDefault="005F6F1F" w:rsidP="008724BF">
      <w:pPr>
        <w:spacing w:line="480" w:lineRule="auto"/>
        <w:contextualSpacing/>
        <w:jc w:val="center"/>
      </w:pPr>
      <w:r w:rsidRPr="000657FA">
        <w:rPr>
          <w:color w:val="000000"/>
          <w:szCs w:val="24"/>
        </w:rPr>
        <w:t>Date</w:t>
      </w:r>
    </w:p>
    <w:p w:rsidR="005F6F1F" w:rsidRPr="000657FA" w:rsidRDefault="005F6F1F" w:rsidP="008724BF">
      <w:pPr>
        <w:spacing w:line="480" w:lineRule="auto"/>
      </w:pPr>
      <w:r w:rsidRPr="000657FA">
        <w:br w:type="page"/>
      </w:r>
      <w:r w:rsidR="008724BF">
        <w:rPr>
          <w:szCs w:val="24"/>
        </w:rPr>
        <w:lastRenderedPageBreak/>
        <w:t xml:space="preserve">Effectiveness of natural vs. synthetic antifungal treatments against </w:t>
      </w:r>
      <w:r w:rsidR="008724BF">
        <w:rPr>
          <w:i/>
          <w:color w:val="222222"/>
          <w:szCs w:val="24"/>
          <w:highlight w:val="white"/>
        </w:rPr>
        <w:t xml:space="preserve">Saccharomyces </w:t>
      </w:r>
      <w:proofErr w:type="spellStart"/>
      <w:r w:rsidR="008724BF">
        <w:rPr>
          <w:i/>
          <w:color w:val="222222"/>
          <w:szCs w:val="24"/>
          <w:highlight w:val="white"/>
        </w:rPr>
        <w:t>cerevisiae</w:t>
      </w:r>
      <w:proofErr w:type="spellEnd"/>
      <w:r w:rsidR="008724BF">
        <w:rPr>
          <w:color w:val="222222"/>
          <w:szCs w:val="24"/>
          <w:highlight w:val="white"/>
        </w:rPr>
        <w:t>.</w:t>
      </w:r>
      <w:r w:rsidR="008724BF">
        <w:rPr>
          <w:rFonts w:eastAsia="Times New Roman"/>
          <w:szCs w:val="24"/>
        </w:rPr>
        <w:t xml:space="preserve">                                        </w:t>
      </w:r>
    </w:p>
    <w:p w:rsidR="008724BF" w:rsidRPr="008724BF" w:rsidRDefault="008724BF" w:rsidP="008724BF">
      <w:pPr>
        <w:spacing w:line="480" w:lineRule="auto"/>
        <w:rPr>
          <w:b/>
        </w:rPr>
      </w:pPr>
      <w:r w:rsidRPr="008724BF">
        <w:rPr>
          <w:b/>
        </w:rPr>
        <w:t>ABSTRACT</w:t>
      </w:r>
    </w:p>
    <w:p w:rsidR="008724BF" w:rsidRDefault="008724BF" w:rsidP="008724BF">
      <w:pPr>
        <w:spacing w:line="480" w:lineRule="auto"/>
      </w:pPr>
      <w:r>
        <w:t xml:space="preserve">A procedure was developed for the rapid analysis of saccharomyces </w:t>
      </w:r>
      <w:proofErr w:type="spellStart"/>
      <w:r>
        <w:t>cereviside</w:t>
      </w:r>
      <w:proofErr w:type="spellEnd"/>
      <w:r>
        <w:t xml:space="preserve"> by adding a buffer solution in six different samples. This procedure was done two times to obtain 2ml of the final 10^-6 diluted solution. Three agar plates were labeled for each treatment. Each plate </w:t>
      </w:r>
      <w:proofErr w:type="spellStart"/>
      <w:r>
        <w:t>plate</w:t>
      </w:r>
      <w:proofErr w:type="spellEnd"/>
      <w:r>
        <w:t xml:space="preserve"> was given 100ul of its respective treatment except the control experiment. 3plates with 100ul of 45% bleach, 3plates with 100ul of 5%HCL, 3plates with 100ul of oregano oil and the control plate with treatment. After the treatment has been done to the plates, 100ul of diluted cells was applied, this was done using a new spreader to prevent the contamination of samples. </w:t>
      </w:r>
    </w:p>
    <w:p w:rsidR="008724BF" w:rsidRPr="006D75DE" w:rsidRDefault="008724BF" w:rsidP="008724BF">
      <w:pPr>
        <w:spacing w:line="480" w:lineRule="auto"/>
      </w:pPr>
      <w:r>
        <w:t xml:space="preserve">In this experiment, we developed a natural treatment antifungal method using </w:t>
      </w:r>
      <w:r>
        <w:rPr>
          <w:rFonts w:eastAsia="Times New Roman"/>
          <w:i/>
          <w:color w:val="222222"/>
          <w:szCs w:val="24"/>
          <w:highlight w:val="white"/>
        </w:rPr>
        <w:t xml:space="preserve">Saccharomyces </w:t>
      </w:r>
      <w:proofErr w:type="spellStart"/>
      <w:r>
        <w:rPr>
          <w:rFonts w:eastAsia="Times New Roman"/>
          <w:i/>
          <w:color w:val="222222"/>
          <w:szCs w:val="24"/>
          <w:highlight w:val="white"/>
        </w:rPr>
        <w:t>cerevisiae</w:t>
      </w:r>
      <w:proofErr w:type="spellEnd"/>
      <w:r>
        <w:rPr>
          <w:rFonts w:eastAsia="Times New Roman"/>
          <w:i/>
          <w:color w:val="222222"/>
          <w:szCs w:val="24"/>
        </w:rPr>
        <w:t xml:space="preserve"> </w:t>
      </w:r>
      <w:r w:rsidRPr="001127B2">
        <w:rPr>
          <w:rFonts w:eastAsia="Times New Roman"/>
          <w:color w:val="222222"/>
          <w:szCs w:val="24"/>
        </w:rPr>
        <w:t>which</w:t>
      </w:r>
      <w:r>
        <w:rPr>
          <w:rFonts w:eastAsia="Times New Roman"/>
          <w:i/>
          <w:color w:val="222222"/>
          <w:szCs w:val="24"/>
        </w:rPr>
        <w:t xml:space="preserve"> </w:t>
      </w:r>
      <w:r w:rsidRPr="001127B2">
        <w:rPr>
          <w:rFonts w:eastAsia="Times New Roman"/>
          <w:color w:val="222222"/>
          <w:szCs w:val="24"/>
        </w:rPr>
        <w:t>wa</w:t>
      </w:r>
      <w:r>
        <w:rPr>
          <w:rFonts w:eastAsia="Times New Roman"/>
          <w:color w:val="222222"/>
          <w:szCs w:val="24"/>
        </w:rPr>
        <w:t>s distributed in six well plate’s,</w:t>
      </w:r>
      <w:r>
        <w:rPr>
          <w:rFonts w:eastAsia="Times New Roman"/>
          <w:color w:val="222222"/>
          <w:szCs w:val="24"/>
          <w:highlight w:val="white"/>
        </w:rPr>
        <w:t xml:space="preserve"> with the treatment the growth of the fungus would be limited or halted. This is because the active components of antifungal substances impede major cellular processes limiting growth or killing the fungi. There may be many modes of action through which antifungal substances may affect fungi. One way may be through damage to cell membranes or through inhibition of enzyme function (</w:t>
      </w:r>
      <w:r>
        <w:rPr>
          <w:rFonts w:eastAsia="Times New Roman"/>
          <w:color w:val="222222"/>
          <w:sz w:val="21"/>
          <w:szCs w:val="21"/>
          <w:highlight w:val="white"/>
        </w:rPr>
        <w:t xml:space="preserve">Li et al. 2017 and Copping &amp; Hewitt 1998). </w:t>
      </w:r>
      <w:r>
        <w:rPr>
          <w:rFonts w:eastAsia="Times New Roman"/>
          <w:color w:val="222222"/>
          <w:szCs w:val="24"/>
          <w:highlight w:val="white"/>
        </w:rPr>
        <w:t>Most commonly used fungicides affect the fungi in multiple ways leading to the death of the fungi (</w:t>
      </w:r>
      <w:r>
        <w:rPr>
          <w:rFonts w:eastAsia="Times New Roman"/>
          <w:color w:val="222222"/>
          <w:sz w:val="21"/>
          <w:szCs w:val="21"/>
          <w:highlight w:val="white"/>
        </w:rPr>
        <w:t>Copping &amp; Hewitt 1998).</w:t>
      </w:r>
    </w:p>
    <w:p w:rsidR="008724BF" w:rsidRDefault="008724BF" w:rsidP="008724BF">
      <w:pPr>
        <w:spacing w:line="480" w:lineRule="auto"/>
      </w:pPr>
    </w:p>
    <w:p w:rsidR="008724BF" w:rsidRPr="00A52E49" w:rsidRDefault="008724BF" w:rsidP="008724BF">
      <w:pPr>
        <w:spacing w:line="480" w:lineRule="auto"/>
        <w:rPr>
          <w:b/>
        </w:rPr>
      </w:pPr>
      <w:r w:rsidRPr="00A52E49">
        <w:rPr>
          <w:b/>
        </w:rPr>
        <w:t>Keywords</w:t>
      </w:r>
    </w:p>
    <w:p w:rsidR="008724BF" w:rsidRDefault="008724BF" w:rsidP="008724BF">
      <w:pPr>
        <w:spacing w:line="480" w:lineRule="auto"/>
        <w:rPr>
          <w:rFonts w:eastAsia="Times New Roman"/>
          <w:szCs w:val="24"/>
        </w:rPr>
      </w:pPr>
      <w:r>
        <w:rPr>
          <w:rFonts w:eastAsia="Times New Roman"/>
          <w:szCs w:val="24"/>
        </w:rPr>
        <w:t xml:space="preserve">1 Bleach, Hydrochloric Acid, Oregano Oil and Tea Tree Oil (TTO) are antifungal substances. Their ability in inhibiting yeast reproduction rate is tested and measured by the average numbers of yeast colonies under each condition. Besides, Essential oils such as Oregano oil and Tea Tree Oil contain phenolic compounds such as </w:t>
      </w:r>
      <w:proofErr w:type="spellStart"/>
      <w:r>
        <w:rPr>
          <w:rFonts w:eastAsia="Times New Roman"/>
          <w:szCs w:val="24"/>
        </w:rPr>
        <w:t>thymol</w:t>
      </w:r>
      <w:proofErr w:type="spellEnd"/>
      <w:r>
        <w:rPr>
          <w:rFonts w:eastAsia="Times New Roman"/>
          <w:szCs w:val="24"/>
        </w:rPr>
        <w:t xml:space="preserve"> and </w:t>
      </w:r>
      <w:proofErr w:type="spellStart"/>
      <w:r>
        <w:rPr>
          <w:rFonts w:eastAsia="Times New Roman"/>
          <w:szCs w:val="24"/>
        </w:rPr>
        <w:t>eugenol</w:t>
      </w:r>
      <w:proofErr w:type="spellEnd"/>
      <w:r>
        <w:rPr>
          <w:rFonts w:eastAsia="Times New Roman"/>
          <w:szCs w:val="24"/>
        </w:rPr>
        <w:t xml:space="preserve"> that are responsible for the antimicrobial activities against yeast’ growth (</w:t>
      </w:r>
      <w:proofErr w:type="spellStart"/>
      <w:r>
        <w:rPr>
          <w:rFonts w:eastAsia="Times New Roman"/>
          <w:szCs w:val="24"/>
        </w:rPr>
        <w:t>Falleh</w:t>
      </w:r>
      <w:proofErr w:type="spellEnd"/>
      <w:r>
        <w:rPr>
          <w:rFonts w:eastAsia="Times New Roman"/>
          <w:szCs w:val="24"/>
        </w:rPr>
        <w:t xml:space="preserve"> et al. 2020)</w:t>
      </w:r>
    </w:p>
    <w:p w:rsidR="008724BF" w:rsidRDefault="008724BF" w:rsidP="008724BF">
      <w:pPr>
        <w:spacing w:line="480" w:lineRule="auto"/>
        <w:rPr>
          <w:rFonts w:eastAsia="Times New Roman"/>
          <w:sz w:val="26"/>
          <w:szCs w:val="26"/>
        </w:rPr>
      </w:pPr>
      <w:r>
        <w:rPr>
          <w:rFonts w:eastAsia="Times New Roman"/>
          <w:szCs w:val="24"/>
        </w:rPr>
        <w:lastRenderedPageBreak/>
        <w:t xml:space="preserve">2.  Saccharomyces </w:t>
      </w:r>
      <w:proofErr w:type="spellStart"/>
      <w:r>
        <w:rPr>
          <w:rFonts w:eastAsia="Times New Roman"/>
          <w:szCs w:val="24"/>
        </w:rPr>
        <w:t>cerevisiae</w:t>
      </w:r>
      <w:proofErr w:type="spellEnd"/>
      <w:r>
        <w:rPr>
          <w:rFonts w:eastAsia="Times New Roman"/>
          <w:szCs w:val="24"/>
        </w:rPr>
        <w:t xml:space="preserve"> yeast are known to reproduce at high rates, in short periods of time (Pagano et al. 2019). Which ensures when carrying out experiments that we can count on the yeast cells to be produced in large amounts, for our experiment specifically where we require replications of each treatment, thus, Saccharomyces </w:t>
      </w:r>
      <w:proofErr w:type="spellStart"/>
      <w:r>
        <w:rPr>
          <w:rFonts w:eastAsia="Times New Roman"/>
          <w:szCs w:val="24"/>
        </w:rPr>
        <w:t>cerevisiae</w:t>
      </w:r>
      <w:proofErr w:type="spellEnd"/>
      <w:r>
        <w:rPr>
          <w:rFonts w:eastAsia="Times New Roman"/>
          <w:szCs w:val="24"/>
        </w:rPr>
        <w:t xml:space="preserve"> yeast ability availability makes it suitable to use. Also to ensure our treatments are suitable for prevention of yeast growth, we can be certain that yeast will grow abundantly, therefore if we see no growth on our plates we can conclude that the treatment was successful (Pagano et al. 2019). Overall,</w:t>
      </w:r>
      <w:r>
        <w:rPr>
          <w:rFonts w:eastAsia="Times New Roman"/>
          <w:sz w:val="26"/>
          <w:szCs w:val="26"/>
        </w:rPr>
        <w:t xml:space="preserve"> </w:t>
      </w:r>
      <w:r>
        <w:rPr>
          <w:rFonts w:eastAsia="Times New Roman"/>
          <w:szCs w:val="24"/>
        </w:rPr>
        <w:t xml:space="preserve">Saccharomyces </w:t>
      </w:r>
      <w:proofErr w:type="spellStart"/>
      <w:r>
        <w:rPr>
          <w:rFonts w:eastAsia="Times New Roman"/>
          <w:szCs w:val="24"/>
        </w:rPr>
        <w:t>cerevisiae</w:t>
      </w:r>
      <w:proofErr w:type="spellEnd"/>
      <w:r>
        <w:rPr>
          <w:rFonts w:eastAsia="Times New Roman"/>
          <w:szCs w:val="24"/>
        </w:rPr>
        <w:t xml:space="preserve"> yeasts ability to be available in plentiful amounts allows us to provide us to draw meaningful conclusions.</w:t>
      </w:r>
    </w:p>
    <w:p w:rsidR="008724BF" w:rsidRDefault="008724BF" w:rsidP="008724BF">
      <w:pPr>
        <w:spacing w:line="480" w:lineRule="auto"/>
        <w:rPr>
          <w:rFonts w:eastAsia="Times New Roman"/>
          <w:szCs w:val="24"/>
        </w:rPr>
      </w:pPr>
      <w:r>
        <w:rPr>
          <w:rFonts w:eastAsia="Times New Roman"/>
          <w:szCs w:val="24"/>
        </w:rPr>
        <w:t xml:space="preserve">3. Saccharomyces </w:t>
      </w:r>
      <w:proofErr w:type="spellStart"/>
      <w:r>
        <w:rPr>
          <w:rFonts w:eastAsia="Times New Roman"/>
          <w:szCs w:val="24"/>
        </w:rPr>
        <w:t>cerevisiae</w:t>
      </w:r>
      <w:proofErr w:type="spellEnd"/>
      <w:r>
        <w:rPr>
          <w:rFonts w:eastAsia="Times New Roman"/>
          <w:szCs w:val="24"/>
        </w:rPr>
        <w:t xml:space="preserve"> yeast are a good model organism. They are easy to maintain and require little care. Our experiment time does not allow us to consistently checkup and gear 100% of our attention towards them. Therefore Saccharomyces </w:t>
      </w:r>
      <w:proofErr w:type="spellStart"/>
      <w:r>
        <w:rPr>
          <w:rFonts w:eastAsia="Times New Roman"/>
          <w:szCs w:val="24"/>
        </w:rPr>
        <w:t>cerevisiae</w:t>
      </w:r>
      <w:proofErr w:type="spellEnd"/>
      <w:r>
        <w:rPr>
          <w:rFonts w:eastAsia="Times New Roman"/>
          <w:szCs w:val="24"/>
        </w:rPr>
        <w:t xml:space="preserve"> yeast are great to use, no complex tools are needed to measure the amount of Saccharomyces </w:t>
      </w:r>
      <w:proofErr w:type="spellStart"/>
      <w:r>
        <w:rPr>
          <w:rFonts w:eastAsia="Times New Roman"/>
          <w:szCs w:val="24"/>
        </w:rPr>
        <w:t>cerevisiae</w:t>
      </w:r>
      <w:proofErr w:type="spellEnd"/>
      <w:r>
        <w:rPr>
          <w:rFonts w:eastAsia="Times New Roman"/>
          <w:szCs w:val="24"/>
        </w:rPr>
        <w:t xml:space="preserve"> yeast growth. Although they are a simple organism they still are made up of genomic material that is insightful to understand how antifungal material leads to their demise (Pagano et al. 2019). </w:t>
      </w:r>
    </w:p>
    <w:p w:rsidR="008724BF" w:rsidRDefault="008724BF" w:rsidP="008724BF">
      <w:pPr>
        <w:spacing w:line="480" w:lineRule="auto"/>
        <w:rPr>
          <w:rFonts w:eastAsia="Times New Roman"/>
          <w:szCs w:val="24"/>
        </w:rPr>
      </w:pPr>
      <w:r>
        <w:rPr>
          <w:rFonts w:eastAsia="Times New Roman"/>
          <w:szCs w:val="24"/>
        </w:rPr>
        <w:t xml:space="preserve">4.  AMP-activated kinase, </w:t>
      </w:r>
      <w:proofErr w:type="spellStart"/>
      <w:r>
        <w:rPr>
          <w:rFonts w:eastAsia="Times New Roman"/>
          <w:szCs w:val="24"/>
        </w:rPr>
        <w:t>Ras</w:t>
      </w:r>
      <w:proofErr w:type="spellEnd"/>
      <w:r>
        <w:rPr>
          <w:rFonts w:eastAsia="Times New Roman"/>
          <w:szCs w:val="24"/>
        </w:rPr>
        <w:t xml:space="preserve">/protein kinase A are some of the centers of overlapping signaling networks that </w:t>
      </w:r>
      <w:r>
        <w:rPr>
          <w:rFonts w:eastAsia="Times New Roman"/>
          <w:i/>
          <w:szCs w:val="24"/>
        </w:rPr>
        <w:t xml:space="preserve">Saccharomyces </w:t>
      </w:r>
      <w:proofErr w:type="spellStart"/>
      <w:r>
        <w:rPr>
          <w:rFonts w:eastAsia="Times New Roman"/>
          <w:i/>
          <w:szCs w:val="24"/>
        </w:rPr>
        <w:t>cerevisiae</w:t>
      </w:r>
      <w:proofErr w:type="spellEnd"/>
      <w:r>
        <w:rPr>
          <w:rFonts w:eastAsia="Times New Roman"/>
          <w:i/>
          <w:szCs w:val="24"/>
        </w:rPr>
        <w:t xml:space="preserve"> </w:t>
      </w:r>
      <w:r>
        <w:rPr>
          <w:rFonts w:eastAsia="Times New Roman"/>
          <w:szCs w:val="24"/>
        </w:rPr>
        <w:t xml:space="preserve">use to inform its cells on nutrient availability to make developmental decisions </w:t>
      </w:r>
      <w:r>
        <w:rPr>
          <w:rFonts w:eastAsia="Times New Roman"/>
          <w:szCs w:val="24"/>
          <w:highlight w:val="white"/>
        </w:rPr>
        <w:t xml:space="preserve">(Broach 2012) </w:t>
      </w:r>
    </w:p>
    <w:p w:rsidR="008724BF" w:rsidRDefault="008724BF" w:rsidP="008724BF">
      <w:pPr>
        <w:spacing w:line="480" w:lineRule="auto"/>
        <w:rPr>
          <w:rFonts w:eastAsia="Times New Roman"/>
          <w:color w:val="222222"/>
          <w:szCs w:val="24"/>
        </w:rPr>
      </w:pPr>
      <w:r>
        <w:rPr>
          <w:rFonts w:eastAsia="Times New Roman"/>
          <w:szCs w:val="24"/>
        </w:rPr>
        <w:t xml:space="preserve">5. </w:t>
      </w:r>
      <w:r>
        <w:rPr>
          <w:rFonts w:eastAsia="Times New Roman"/>
          <w:i/>
          <w:color w:val="222222"/>
          <w:szCs w:val="24"/>
          <w:highlight w:val="white"/>
        </w:rPr>
        <w:t xml:space="preserve">Saccharomyces </w:t>
      </w:r>
      <w:proofErr w:type="spellStart"/>
      <w:r>
        <w:rPr>
          <w:rFonts w:eastAsia="Times New Roman"/>
          <w:i/>
          <w:color w:val="222222"/>
          <w:szCs w:val="24"/>
          <w:highlight w:val="white"/>
        </w:rPr>
        <w:t>cerevisiae</w:t>
      </w:r>
      <w:proofErr w:type="spellEnd"/>
      <w:r>
        <w:rPr>
          <w:rFonts w:eastAsia="Times New Roman"/>
          <w:i/>
          <w:color w:val="222222"/>
          <w:szCs w:val="24"/>
          <w:highlight w:val="white"/>
        </w:rPr>
        <w:t xml:space="preserve"> </w:t>
      </w:r>
      <w:r>
        <w:rPr>
          <w:rFonts w:eastAsia="Times New Roman"/>
          <w:color w:val="222222"/>
          <w:szCs w:val="24"/>
          <w:highlight w:val="white"/>
        </w:rPr>
        <w:t>is a fungus that serves as a model for other potentially harmful pathogenic fungi that could infect crops or plants. Yeast are heterotrophic and are commonly found in or on fruits and dead organic material but some are also parasitic. These fungi may poses a threat to the production of crops. (Biological Sciences Department 2019)</w:t>
      </w:r>
    </w:p>
    <w:p w:rsidR="008724BF" w:rsidRDefault="008724BF" w:rsidP="008724BF">
      <w:pPr>
        <w:spacing w:line="480" w:lineRule="auto"/>
        <w:rPr>
          <w:rFonts w:eastAsia="Times New Roman"/>
          <w:color w:val="222222"/>
          <w:szCs w:val="24"/>
        </w:rPr>
      </w:pPr>
      <w:r>
        <w:rPr>
          <w:rFonts w:eastAsia="Times New Roman"/>
          <w:color w:val="222222"/>
          <w:szCs w:val="24"/>
        </w:rPr>
        <w:t xml:space="preserve">Background </w:t>
      </w:r>
    </w:p>
    <w:p w:rsidR="008724BF" w:rsidRDefault="008724BF" w:rsidP="008724BF">
      <w:pPr>
        <w:spacing w:line="480" w:lineRule="auto"/>
        <w:rPr>
          <w:rFonts w:eastAsia="Times New Roman"/>
          <w:color w:val="222222"/>
          <w:szCs w:val="24"/>
        </w:rPr>
      </w:pPr>
      <w:r>
        <w:rPr>
          <w:rFonts w:eastAsia="Times New Roman"/>
          <w:color w:val="222222"/>
          <w:szCs w:val="24"/>
        </w:rPr>
        <w:lastRenderedPageBreak/>
        <w:t>There was a prediction that the bleach will result in the least growth of colonies and the systematic treatment will be more effective than the natural treatment at limiting yeast growth. The last prediction was that the control experiment will have a larger amount of growth because there is nothing preventing it from growing.</w:t>
      </w:r>
    </w:p>
    <w:p w:rsidR="008724BF" w:rsidRPr="008724BF" w:rsidRDefault="008724BF" w:rsidP="008724BF">
      <w:pPr>
        <w:spacing w:line="480" w:lineRule="auto"/>
        <w:rPr>
          <w:rFonts w:eastAsia="Times New Roman"/>
          <w:b/>
          <w:color w:val="222222"/>
          <w:szCs w:val="24"/>
        </w:rPr>
      </w:pPr>
      <w:r w:rsidRPr="008724BF">
        <w:rPr>
          <w:rFonts w:eastAsia="Times New Roman"/>
          <w:b/>
          <w:color w:val="222222"/>
          <w:szCs w:val="24"/>
        </w:rPr>
        <w:t>Analysis</w:t>
      </w:r>
    </w:p>
    <w:p w:rsidR="008724BF" w:rsidRDefault="008724BF" w:rsidP="008724BF">
      <w:pPr>
        <w:spacing w:line="480" w:lineRule="auto"/>
        <w:rPr>
          <w:rFonts w:eastAsia="Times New Roman"/>
          <w:szCs w:val="24"/>
        </w:rPr>
      </w:pPr>
      <w:r>
        <w:rPr>
          <w:rFonts w:eastAsia="Times New Roman"/>
          <w:color w:val="222222"/>
          <w:szCs w:val="24"/>
        </w:rPr>
        <w:t>The quantitative variables that were previously used include</w:t>
      </w:r>
      <w:r>
        <w:rPr>
          <w:rFonts w:eastAsia="Times New Roman"/>
          <w:szCs w:val="24"/>
        </w:rPr>
        <w:t xml:space="preserve">: Control, Bleach, Hydrochloric Acid, Oregano Oil, and Tea Tree Oil. A numerical variable: Average yeast colonies </w:t>
      </w:r>
    </w:p>
    <w:p w:rsidR="008724BF" w:rsidRDefault="008724BF" w:rsidP="008724BF">
      <w:pPr>
        <w:spacing w:line="480" w:lineRule="auto"/>
        <w:rPr>
          <w:rFonts w:eastAsia="Times New Roman"/>
          <w:szCs w:val="24"/>
        </w:rPr>
      </w:pPr>
      <w:r>
        <w:rPr>
          <w:rFonts w:eastAsia="Times New Roman"/>
          <w:szCs w:val="24"/>
        </w:rPr>
        <w:t xml:space="preserve">Test(s) used: one-way ANOVA </w:t>
      </w:r>
    </w:p>
    <w:p w:rsidR="008724BF" w:rsidRDefault="008724BF" w:rsidP="008724BF">
      <w:pPr>
        <w:spacing w:line="480" w:lineRule="auto"/>
        <w:rPr>
          <w:rFonts w:eastAsia="Times New Roman"/>
          <w:szCs w:val="24"/>
        </w:rPr>
      </w:pPr>
      <w:r>
        <w:rPr>
          <w:rFonts w:eastAsia="Times New Roman"/>
          <w:szCs w:val="24"/>
        </w:rPr>
        <w:t xml:space="preserve">Results* (including test statistic, critical value and </w:t>
      </w:r>
      <w:r>
        <w:rPr>
          <w:rFonts w:eastAsia="Times New Roman"/>
          <w:i/>
          <w:szCs w:val="24"/>
        </w:rPr>
        <w:t>p</w:t>
      </w:r>
      <w:r>
        <w:rPr>
          <w:rFonts w:eastAsia="Times New Roman"/>
          <w:szCs w:val="24"/>
        </w:rPr>
        <w:t>-value):   /3</w:t>
      </w:r>
    </w:p>
    <w:p w:rsidR="008724BF" w:rsidRDefault="008724BF" w:rsidP="008724BF">
      <w:pPr>
        <w:spacing w:line="480" w:lineRule="auto"/>
        <w:rPr>
          <w:rFonts w:eastAsia="Times New Roman"/>
          <w:szCs w:val="24"/>
        </w:rPr>
      </w:pPr>
      <w:proofErr w:type="spellStart"/>
      <w:r>
        <w:rPr>
          <w:rFonts w:eastAsia="Times New Roman"/>
          <w:szCs w:val="24"/>
        </w:rPr>
        <w:t>Fo</w:t>
      </w:r>
      <w:proofErr w:type="spellEnd"/>
      <w:r>
        <w:rPr>
          <w:rFonts w:eastAsia="Times New Roman"/>
          <w:szCs w:val="24"/>
        </w:rPr>
        <w:t>= 1.429, F critical = 3.478, p-value = 0.294</w:t>
      </w:r>
    </w:p>
    <w:p w:rsidR="008724BF" w:rsidRPr="0058209F" w:rsidRDefault="008724BF" w:rsidP="008724BF">
      <w:pPr>
        <w:spacing w:line="480" w:lineRule="auto"/>
        <w:rPr>
          <w:rFonts w:eastAsia="Times New Roman"/>
          <w:b/>
          <w:szCs w:val="24"/>
        </w:rPr>
      </w:pPr>
      <w:r w:rsidRPr="0058209F">
        <w:rPr>
          <w:rFonts w:eastAsia="Times New Roman"/>
          <w:b/>
          <w:szCs w:val="24"/>
        </w:rPr>
        <w:t>Discussion</w:t>
      </w:r>
    </w:p>
    <w:p w:rsidR="008724BF" w:rsidRDefault="008724BF" w:rsidP="008724BF">
      <w:pPr>
        <w:spacing w:line="480" w:lineRule="auto"/>
        <w:rPr>
          <w:rFonts w:eastAsia="Times New Roman"/>
          <w:b/>
          <w:sz w:val="28"/>
          <w:szCs w:val="28"/>
        </w:rPr>
      </w:pPr>
      <w:r>
        <w:rPr>
          <w:rFonts w:eastAsia="Times New Roman"/>
          <w:szCs w:val="24"/>
        </w:rPr>
        <w:t xml:space="preserve">This is supported by other works by </w:t>
      </w:r>
      <w:proofErr w:type="spellStart"/>
      <w:r>
        <w:rPr>
          <w:rFonts w:eastAsia="Times New Roman"/>
          <w:szCs w:val="24"/>
        </w:rPr>
        <w:t>Gantini</w:t>
      </w:r>
      <w:proofErr w:type="spellEnd"/>
      <w:r>
        <w:rPr>
          <w:rFonts w:eastAsia="Times New Roman"/>
          <w:szCs w:val="24"/>
        </w:rPr>
        <w:t xml:space="preserve"> </w:t>
      </w:r>
      <w:proofErr w:type="spellStart"/>
      <w:r>
        <w:rPr>
          <w:rFonts w:eastAsia="Times New Roman"/>
          <w:szCs w:val="24"/>
        </w:rPr>
        <w:t>Subrata</w:t>
      </w:r>
      <w:proofErr w:type="spellEnd"/>
      <w:r>
        <w:rPr>
          <w:rFonts w:eastAsia="Times New Roman"/>
          <w:szCs w:val="24"/>
        </w:rPr>
        <w:t xml:space="preserve"> (2008), Li et al. (2017), and </w:t>
      </w:r>
      <w:proofErr w:type="spellStart"/>
      <w:r>
        <w:rPr>
          <w:rFonts w:eastAsia="Times New Roman"/>
          <w:szCs w:val="24"/>
        </w:rPr>
        <w:t>Soylu</w:t>
      </w:r>
      <w:proofErr w:type="spellEnd"/>
      <w:r>
        <w:rPr>
          <w:rFonts w:eastAsia="Times New Roman"/>
          <w:szCs w:val="24"/>
        </w:rPr>
        <w:t xml:space="preserve"> et al. (2007) who found that hypochlorite, tea tree oil, and oregano oil are effective antifungal treatments for varying species of fungi. In addition, compounds that contain oregano oil are also proven effective in preserving food and extending the shelf-life of meat products and low-fat cut cheese </w:t>
      </w:r>
      <w:r>
        <w:rPr>
          <w:rFonts w:eastAsia="Times New Roman"/>
          <w:szCs w:val="24"/>
          <w:highlight w:val="white"/>
        </w:rPr>
        <w:t>(</w:t>
      </w:r>
      <w:proofErr w:type="spellStart"/>
      <w:r>
        <w:rPr>
          <w:rFonts w:eastAsia="Times New Roman"/>
          <w:szCs w:val="24"/>
          <w:highlight w:val="white"/>
        </w:rPr>
        <w:t>Artiga</w:t>
      </w:r>
      <w:proofErr w:type="spellEnd"/>
      <w:r>
        <w:rPr>
          <w:rFonts w:eastAsia="Times New Roman"/>
          <w:szCs w:val="24"/>
          <w:highlight w:val="white"/>
        </w:rPr>
        <w:t>-Artigas et al. 2017)</w:t>
      </w:r>
      <w:r>
        <w:rPr>
          <w:rFonts w:eastAsia="Times New Roman"/>
          <w:szCs w:val="24"/>
        </w:rPr>
        <w:t xml:space="preserve"> by minimizing the pH and preventing microbial growth</w:t>
      </w:r>
      <w:r>
        <w:rPr>
          <w:rFonts w:eastAsia="Times New Roman"/>
          <w:szCs w:val="24"/>
          <w:highlight w:val="white"/>
        </w:rPr>
        <w:t xml:space="preserve"> (</w:t>
      </w:r>
      <w:proofErr w:type="spellStart"/>
      <w:r>
        <w:rPr>
          <w:rFonts w:eastAsia="Times New Roman"/>
          <w:szCs w:val="24"/>
          <w:highlight w:val="white"/>
        </w:rPr>
        <w:t>Xiong</w:t>
      </w:r>
      <w:proofErr w:type="spellEnd"/>
      <w:r>
        <w:rPr>
          <w:rFonts w:eastAsia="Times New Roman"/>
          <w:szCs w:val="24"/>
          <w:highlight w:val="white"/>
        </w:rPr>
        <w:t xml:space="preserve"> et al. 2020)</w:t>
      </w:r>
      <w:r>
        <w:rPr>
          <w:rFonts w:eastAsia="Times New Roman"/>
          <w:szCs w:val="24"/>
        </w:rPr>
        <w:t>. Therefore, substances above can be useful in creating not only chemical compounds against pest destruction in the agriculture industry but also new preservatives that are more eco-friendly in the future.</w:t>
      </w:r>
      <w:r w:rsidRPr="0086788A">
        <w:rPr>
          <w:rFonts w:eastAsia="Times New Roman"/>
          <w:b/>
          <w:sz w:val="28"/>
          <w:szCs w:val="28"/>
        </w:rPr>
        <w:t xml:space="preserve"> </w:t>
      </w:r>
    </w:p>
    <w:p w:rsidR="008724BF" w:rsidRDefault="008724BF" w:rsidP="008724BF">
      <w:pPr>
        <w:spacing w:line="480" w:lineRule="auto"/>
        <w:rPr>
          <w:rFonts w:eastAsia="Times New Roman"/>
          <w:b/>
          <w:szCs w:val="24"/>
        </w:rPr>
      </w:pPr>
    </w:p>
    <w:p w:rsidR="008724BF" w:rsidRPr="0058209F" w:rsidRDefault="008724BF" w:rsidP="008724BF">
      <w:pPr>
        <w:spacing w:line="480" w:lineRule="auto"/>
        <w:rPr>
          <w:rFonts w:eastAsia="Times New Roman"/>
          <w:b/>
          <w:szCs w:val="24"/>
        </w:rPr>
      </w:pPr>
      <w:r w:rsidRPr="0058209F">
        <w:rPr>
          <w:rFonts w:eastAsia="Times New Roman"/>
          <w:b/>
          <w:szCs w:val="24"/>
        </w:rPr>
        <w:t xml:space="preserve">Conclusion </w:t>
      </w:r>
    </w:p>
    <w:p w:rsidR="008724BF" w:rsidRDefault="008724BF" w:rsidP="008724BF">
      <w:pPr>
        <w:spacing w:line="480" w:lineRule="auto"/>
        <w:rPr>
          <w:rFonts w:eastAsia="Times New Roman"/>
          <w:szCs w:val="24"/>
        </w:rPr>
      </w:pPr>
      <w:r>
        <w:rPr>
          <w:rFonts w:eastAsia="Times New Roman"/>
          <w:szCs w:val="24"/>
        </w:rPr>
        <w:t xml:space="preserve">Based on our results, it can be concluded that tea tree oil, oil of oregano, and bleach have fairly strong antifungal properties. It could also be concluded that the concentration of </w:t>
      </w:r>
      <w:proofErr w:type="spellStart"/>
      <w:r>
        <w:rPr>
          <w:rFonts w:eastAsia="Times New Roman"/>
          <w:szCs w:val="24"/>
        </w:rPr>
        <w:t>HCl</w:t>
      </w:r>
      <w:proofErr w:type="spellEnd"/>
      <w:r>
        <w:rPr>
          <w:rFonts w:eastAsia="Times New Roman"/>
          <w:szCs w:val="24"/>
        </w:rPr>
        <w:t xml:space="preserve"> that we used does not have very strong antifungal properties. Overall we can conclude that tea tree oil, </w:t>
      </w:r>
      <w:r>
        <w:rPr>
          <w:rFonts w:eastAsia="Times New Roman"/>
          <w:szCs w:val="24"/>
        </w:rPr>
        <w:lastRenderedPageBreak/>
        <w:t xml:space="preserve">oil of oregano, and bleach could be considered effective antifungal treatments. This means that natural antifungals such as TTO and Oregano oil could be used as safer alternatives to synthetic antifungals like bleach. </w:t>
      </w: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p>
    <w:p w:rsidR="008724BF" w:rsidRDefault="008724BF" w:rsidP="008724BF">
      <w:pPr>
        <w:spacing w:line="480" w:lineRule="auto"/>
        <w:rPr>
          <w:rFonts w:eastAsia="Times New Roman"/>
          <w:b/>
          <w:sz w:val="28"/>
          <w:szCs w:val="28"/>
        </w:rPr>
      </w:pPr>
      <w:r>
        <w:rPr>
          <w:rFonts w:eastAsia="Times New Roman"/>
          <w:b/>
          <w:sz w:val="28"/>
          <w:szCs w:val="28"/>
        </w:rPr>
        <w:t xml:space="preserve">References: </w:t>
      </w:r>
    </w:p>
    <w:p w:rsidR="008724BF" w:rsidRDefault="008724BF" w:rsidP="008724BF">
      <w:pPr>
        <w:spacing w:line="480" w:lineRule="auto"/>
        <w:rPr>
          <w:rFonts w:eastAsia="Times New Roman"/>
          <w:szCs w:val="24"/>
        </w:rPr>
      </w:pPr>
      <w:proofErr w:type="spellStart"/>
      <w:r>
        <w:rPr>
          <w:rFonts w:eastAsia="Times New Roman"/>
          <w:szCs w:val="24"/>
        </w:rPr>
        <w:t>Artiga</w:t>
      </w:r>
      <w:proofErr w:type="spellEnd"/>
      <w:r>
        <w:rPr>
          <w:rFonts w:eastAsia="Times New Roman"/>
          <w:szCs w:val="24"/>
        </w:rPr>
        <w:t>-Artigas, M., A. Acevedo-</w:t>
      </w:r>
      <w:proofErr w:type="spellStart"/>
      <w:r>
        <w:rPr>
          <w:rFonts w:eastAsia="Times New Roman"/>
          <w:szCs w:val="24"/>
        </w:rPr>
        <w:t>Fani</w:t>
      </w:r>
      <w:proofErr w:type="spellEnd"/>
      <w:r>
        <w:rPr>
          <w:rFonts w:eastAsia="Times New Roman"/>
          <w:szCs w:val="24"/>
        </w:rPr>
        <w:t>, O. Martin-</w:t>
      </w:r>
      <w:proofErr w:type="spellStart"/>
      <w:r>
        <w:rPr>
          <w:rFonts w:eastAsia="Times New Roman"/>
          <w:szCs w:val="24"/>
        </w:rPr>
        <w:t>Belloso</w:t>
      </w:r>
      <w:proofErr w:type="spellEnd"/>
      <w:r>
        <w:rPr>
          <w:rFonts w:eastAsia="Times New Roman"/>
          <w:szCs w:val="24"/>
        </w:rPr>
        <w:t xml:space="preserve">. 2017. Improving the shelf life of low-fat cut cheese using Nan emulsion based edible coatings containing oregano essential oil and mandarin fiber. Food Control, vol. 76: 1-12, DOI: </w:t>
      </w:r>
      <w:hyperlink r:id="rId8">
        <w:r>
          <w:rPr>
            <w:rFonts w:eastAsia="Times New Roman"/>
            <w:szCs w:val="24"/>
          </w:rPr>
          <w:t>https://doi.org/10.1016/j.foodcont.2017.01.001</w:t>
        </w:r>
      </w:hyperlink>
      <w:r>
        <w:rPr>
          <w:rFonts w:eastAsia="Times New Roman"/>
          <w:szCs w:val="24"/>
        </w:rPr>
        <w:t xml:space="preserve"> </w:t>
      </w:r>
    </w:p>
    <w:p w:rsidR="008724BF" w:rsidRDefault="008724BF" w:rsidP="008724BF">
      <w:pPr>
        <w:spacing w:line="480" w:lineRule="auto"/>
        <w:rPr>
          <w:rFonts w:eastAsia="Times New Roman"/>
          <w:szCs w:val="24"/>
        </w:rPr>
      </w:pPr>
      <w:r>
        <w:rPr>
          <w:rFonts w:eastAsia="Times New Roman"/>
          <w:szCs w:val="24"/>
        </w:rPr>
        <w:lastRenderedPageBreak/>
        <w:t xml:space="preserve">Biological Sciences Department. 2019. Biology 108: Organisms in their environment laboratory manual 2019/2020. Faculty of Arts and Science, </w:t>
      </w:r>
      <w:proofErr w:type="spellStart"/>
      <w:r>
        <w:rPr>
          <w:rFonts w:eastAsia="Times New Roman"/>
          <w:szCs w:val="24"/>
        </w:rPr>
        <w:t>MacEwan</w:t>
      </w:r>
      <w:proofErr w:type="spellEnd"/>
      <w:r>
        <w:rPr>
          <w:rFonts w:eastAsia="Times New Roman"/>
          <w:szCs w:val="24"/>
        </w:rPr>
        <w:t xml:space="preserve"> University, Alberta, Canada.</w:t>
      </w:r>
    </w:p>
    <w:p w:rsidR="008724BF" w:rsidRDefault="008724BF" w:rsidP="008724BF">
      <w:pPr>
        <w:spacing w:line="480" w:lineRule="auto"/>
        <w:rPr>
          <w:rFonts w:eastAsia="Times New Roman"/>
          <w:szCs w:val="24"/>
        </w:rPr>
      </w:pPr>
    </w:p>
    <w:p w:rsidR="008724BF" w:rsidRDefault="008724BF" w:rsidP="008724BF">
      <w:pPr>
        <w:spacing w:line="480" w:lineRule="auto"/>
        <w:rPr>
          <w:rFonts w:eastAsia="Times New Roman"/>
          <w:szCs w:val="24"/>
        </w:rPr>
      </w:pPr>
      <w:r>
        <w:rPr>
          <w:rFonts w:eastAsia="Times New Roman"/>
          <w:szCs w:val="24"/>
        </w:rPr>
        <w:t xml:space="preserve">Broach, J.R. 2012. Nutritional Control of Growth and Development in Yeast. Genetics. Volume: 192(1): 73-105. DOI: </w:t>
      </w:r>
      <w:hyperlink r:id="rId9">
        <w:r>
          <w:rPr>
            <w:rFonts w:eastAsia="Times New Roman"/>
            <w:szCs w:val="24"/>
            <w:u w:val="single"/>
          </w:rPr>
          <w:t>10.1534/genetics.111.135731</w:t>
        </w:r>
      </w:hyperlink>
      <w:r>
        <w:rPr>
          <w:rFonts w:eastAsia="Times New Roman"/>
          <w:szCs w:val="24"/>
        </w:rPr>
        <w:t xml:space="preserve">  </w:t>
      </w:r>
    </w:p>
    <w:p w:rsidR="008724BF" w:rsidRDefault="008724BF" w:rsidP="008724BF">
      <w:pPr>
        <w:shd w:val="clear" w:color="auto" w:fill="FFFFFF"/>
        <w:spacing w:line="480" w:lineRule="auto"/>
        <w:rPr>
          <w:rFonts w:eastAsia="Times New Roman"/>
          <w:szCs w:val="24"/>
        </w:rPr>
      </w:pPr>
      <w:r>
        <w:rPr>
          <w:rFonts w:eastAsia="Times New Roman"/>
          <w:szCs w:val="24"/>
        </w:rPr>
        <w:t>Copping, L. G., &amp; H. G. Hewitt. 1998. Chemistry and Mode of Action of Crop Protection Agents. Royal Society of Chemistry. http://eds.b.ebscohost.com.ezproxy.macewan.ca /eds/ebookviewer/ebook?sid=a7a014f1-eb55-4ef0-ace1-c31ae6a88922%40pdc-v-sessmgr01&amp;vid=0&amp;format=EB</w:t>
      </w:r>
    </w:p>
    <w:p w:rsidR="008724BF" w:rsidRDefault="008724BF" w:rsidP="008724BF">
      <w:pPr>
        <w:spacing w:line="480" w:lineRule="auto"/>
        <w:rPr>
          <w:rFonts w:eastAsia="Times New Roman"/>
          <w:szCs w:val="24"/>
        </w:rPr>
      </w:pPr>
      <w:proofErr w:type="spellStart"/>
      <w:r>
        <w:rPr>
          <w:rFonts w:eastAsia="Times New Roman"/>
          <w:szCs w:val="24"/>
        </w:rPr>
        <w:t>Falleh</w:t>
      </w:r>
      <w:proofErr w:type="spellEnd"/>
      <w:r>
        <w:rPr>
          <w:rFonts w:eastAsia="Times New Roman"/>
          <w:szCs w:val="24"/>
        </w:rPr>
        <w:t xml:space="preserve">, H., M. Ben </w:t>
      </w:r>
      <w:proofErr w:type="spellStart"/>
      <w:r>
        <w:rPr>
          <w:rFonts w:eastAsia="Times New Roman"/>
          <w:szCs w:val="24"/>
        </w:rPr>
        <w:t>Jemaa</w:t>
      </w:r>
      <w:proofErr w:type="spellEnd"/>
      <w:r>
        <w:rPr>
          <w:rFonts w:eastAsia="Times New Roman"/>
          <w:szCs w:val="24"/>
        </w:rPr>
        <w:t xml:space="preserve">, M. </w:t>
      </w:r>
      <w:proofErr w:type="spellStart"/>
      <w:r>
        <w:rPr>
          <w:rFonts w:eastAsia="Times New Roman"/>
          <w:szCs w:val="24"/>
        </w:rPr>
        <w:t>Saada</w:t>
      </w:r>
      <w:proofErr w:type="spellEnd"/>
      <w:r>
        <w:rPr>
          <w:rFonts w:eastAsia="Times New Roman"/>
          <w:szCs w:val="24"/>
        </w:rPr>
        <w:t xml:space="preserve">, R. </w:t>
      </w:r>
      <w:proofErr w:type="spellStart"/>
      <w:r>
        <w:rPr>
          <w:rFonts w:eastAsia="Times New Roman"/>
          <w:szCs w:val="24"/>
        </w:rPr>
        <w:t>Ksouri</w:t>
      </w:r>
      <w:proofErr w:type="spellEnd"/>
      <w:r>
        <w:rPr>
          <w:rFonts w:eastAsia="Times New Roman"/>
          <w:szCs w:val="24"/>
        </w:rPr>
        <w:t xml:space="preserve">. 2020. Essential oils: A promising eco-friendly food preservative. Food Chemistry, vol. 330. DOI: </w:t>
      </w:r>
      <w:hyperlink r:id="rId10">
        <w:r>
          <w:rPr>
            <w:rFonts w:eastAsia="Times New Roman"/>
            <w:szCs w:val="24"/>
          </w:rPr>
          <w:t>https://doi.org/10.1016/j.foodchem.2020.127268</w:t>
        </w:r>
      </w:hyperlink>
      <w:r>
        <w:rPr>
          <w:rFonts w:eastAsia="Times New Roman"/>
          <w:szCs w:val="24"/>
        </w:rPr>
        <w:t xml:space="preserve"> </w:t>
      </w:r>
    </w:p>
    <w:p w:rsidR="008724BF" w:rsidRDefault="008724BF" w:rsidP="008724BF">
      <w:pPr>
        <w:spacing w:line="480" w:lineRule="auto"/>
        <w:rPr>
          <w:rFonts w:eastAsia="Times New Roman"/>
          <w:szCs w:val="24"/>
        </w:rPr>
      </w:pPr>
    </w:p>
    <w:p w:rsidR="008724BF" w:rsidRDefault="008724BF" w:rsidP="008724BF">
      <w:pPr>
        <w:spacing w:line="480" w:lineRule="auto"/>
        <w:rPr>
          <w:rFonts w:eastAsia="Times New Roman"/>
          <w:szCs w:val="24"/>
        </w:rPr>
      </w:pPr>
      <w:r>
        <w:rPr>
          <w:rFonts w:eastAsia="Times New Roman"/>
          <w:szCs w:val="24"/>
        </w:rPr>
        <w:t>Li, Y., X. Shao, J. Xu, Y. Wei, F. Xu, and H. Wang. 2017. Tea tree oil exhibits antifungal activity</w:t>
      </w:r>
    </w:p>
    <w:p w:rsidR="008724BF" w:rsidRDefault="008724BF" w:rsidP="008724BF">
      <w:pPr>
        <w:spacing w:line="480" w:lineRule="auto"/>
        <w:rPr>
          <w:rFonts w:eastAsia="Times New Roman"/>
          <w:szCs w:val="24"/>
        </w:rPr>
      </w:pPr>
      <w:r>
        <w:rPr>
          <w:rFonts w:eastAsia="Times New Roman"/>
          <w:szCs w:val="24"/>
        </w:rPr>
        <w:t xml:space="preserve">against Botrytis </w:t>
      </w:r>
      <w:proofErr w:type="spellStart"/>
      <w:r>
        <w:rPr>
          <w:rFonts w:eastAsia="Times New Roman"/>
          <w:szCs w:val="24"/>
        </w:rPr>
        <w:t>cinerea</w:t>
      </w:r>
      <w:proofErr w:type="spellEnd"/>
      <w:r>
        <w:rPr>
          <w:rFonts w:eastAsia="Times New Roman"/>
          <w:szCs w:val="24"/>
        </w:rPr>
        <w:t xml:space="preserve"> by affecting mitochondria. Food Chemistry 234: 62-67. DOI:</w:t>
      </w:r>
    </w:p>
    <w:p w:rsidR="008724BF" w:rsidRDefault="008724BF" w:rsidP="008724BF">
      <w:pPr>
        <w:spacing w:line="480" w:lineRule="auto"/>
        <w:rPr>
          <w:rFonts w:eastAsia="Times New Roman"/>
          <w:szCs w:val="24"/>
        </w:rPr>
      </w:pPr>
      <w:r>
        <w:rPr>
          <w:rFonts w:eastAsia="Times New Roman"/>
          <w:szCs w:val="24"/>
        </w:rPr>
        <w:t>https://doi-org.ezproxy.macewan.ca/10.1016/j.foodchem.2017.04.172</w:t>
      </w:r>
    </w:p>
    <w:p w:rsidR="008724BF" w:rsidRDefault="008724BF" w:rsidP="008724BF">
      <w:pPr>
        <w:spacing w:line="480" w:lineRule="auto"/>
        <w:rPr>
          <w:rFonts w:eastAsia="Times New Roman"/>
          <w:szCs w:val="24"/>
        </w:rPr>
      </w:pPr>
    </w:p>
    <w:p w:rsidR="008724BF" w:rsidRDefault="008724BF" w:rsidP="008724BF">
      <w:pPr>
        <w:spacing w:line="480" w:lineRule="auto"/>
        <w:rPr>
          <w:rFonts w:eastAsia="Times New Roman"/>
          <w:szCs w:val="24"/>
        </w:rPr>
      </w:pPr>
      <w:r>
        <w:rPr>
          <w:rFonts w:eastAsia="Times New Roman"/>
          <w:szCs w:val="24"/>
        </w:rPr>
        <w:t xml:space="preserve">Pagano, L., Caldara, M., </w:t>
      </w:r>
      <w:proofErr w:type="spellStart"/>
      <w:r>
        <w:rPr>
          <w:rFonts w:eastAsia="Times New Roman"/>
          <w:szCs w:val="24"/>
        </w:rPr>
        <w:t>Villani</w:t>
      </w:r>
      <w:proofErr w:type="spellEnd"/>
      <w:r>
        <w:rPr>
          <w:rFonts w:eastAsia="Times New Roman"/>
          <w:szCs w:val="24"/>
        </w:rPr>
        <w:t xml:space="preserve">, M., </w:t>
      </w:r>
      <w:proofErr w:type="spellStart"/>
      <w:r>
        <w:rPr>
          <w:rFonts w:eastAsia="Times New Roman"/>
          <w:szCs w:val="24"/>
        </w:rPr>
        <w:t>Zappettini</w:t>
      </w:r>
      <w:proofErr w:type="spellEnd"/>
      <w:r>
        <w:rPr>
          <w:rFonts w:eastAsia="Times New Roman"/>
          <w:szCs w:val="24"/>
        </w:rPr>
        <w:t xml:space="preserve">, A., </w:t>
      </w:r>
      <w:proofErr w:type="spellStart"/>
      <w:r>
        <w:rPr>
          <w:rFonts w:eastAsia="Times New Roman"/>
          <w:szCs w:val="24"/>
        </w:rPr>
        <w:t>Marmiroli</w:t>
      </w:r>
      <w:proofErr w:type="spellEnd"/>
      <w:r>
        <w:rPr>
          <w:rFonts w:eastAsia="Times New Roman"/>
          <w:szCs w:val="24"/>
        </w:rPr>
        <w:t xml:space="preserve">, N., &amp; </w:t>
      </w:r>
      <w:proofErr w:type="spellStart"/>
      <w:r>
        <w:rPr>
          <w:rFonts w:eastAsia="Times New Roman"/>
          <w:szCs w:val="24"/>
        </w:rPr>
        <w:t>Marmiroli</w:t>
      </w:r>
      <w:proofErr w:type="spellEnd"/>
      <w:r>
        <w:rPr>
          <w:rFonts w:eastAsia="Times New Roman"/>
          <w:szCs w:val="24"/>
        </w:rPr>
        <w:t xml:space="preserve">, M. (2019). In Vivo-In Vitro Comparative Toxicology of Cadmium </w:t>
      </w:r>
      <w:proofErr w:type="spellStart"/>
      <w:r>
        <w:rPr>
          <w:rFonts w:eastAsia="Times New Roman"/>
          <w:szCs w:val="24"/>
        </w:rPr>
        <w:t>Sulphide</w:t>
      </w:r>
      <w:proofErr w:type="spellEnd"/>
      <w:r>
        <w:rPr>
          <w:rFonts w:eastAsia="Times New Roman"/>
          <w:szCs w:val="24"/>
        </w:rPr>
        <w:t xml:space="preserve"> Quantum Dots in the Model Organism Saccharomyces </w:t>
      </w:r>
      <w:proofErr w:type="spellStart"/>
      <w:r>
        <w:rPr>
          <w:rFonts w:eastAsia="Times New Roman"/>
          <w:szCs w:val="24"/>
        </w:rPr>
        <w:t>cerevisiae</w:t>
      </w:r>
      <w:proofErr w:type="spellEnd"/>
      <w:r>
        <w:rPr>
          <w:rFonts w:eastAsia="Times New Roman"/>
          <w:szCs w:val="24"/>
        </w:rPr>
        <w:t xml:space="preserve"> . 9(4). https://doi.org/10.3390/nano9040512</w:t>
      </w:r>
    </w:p>
    <w:p w:rsidR="008724BF" w:rsidRDefault="008724BF" w:rsidP="008724BF">
      <w:pPr>
        <w:spacing w:line="480" w:lineRule="auto"/>
        <w:rPr>
          <w:rFonts w:eastAsia="Times New Roman"/>
          <w:szCs w:val="24"/>
        </w:rPr>
      </w:pPr>
    </w:p>
    <w:p w:rsidR="008724BF" w:rsidRDefault="008724BF" w:rsidP="008724BF">
      <w:pPr>
        <w:spacing w:line="480" w:lineRule="auto"/>
        <w:rPr>
          <w:rFonts w:eastAsia="Times New Roman"/>
          <w:szCs w:val="24"/>
        </w:rPr>
      </w:pPr>
      <w:proofErr w:type="spellStart"/>
      <w:r>
        <w:rPr>
          <w:rFonts w:eastAsia="Times New Roman"/>
          <w:szCs w:val="24"/>
        </w:rPr>
        <w:t>Xiong</w:t>
      </w:r>
      <w:proofErr w:type="spellEnd"/>
      <w:r>
        <w:rPr>
          <w:rFonts w:eastAsia="Times New Roman"/>
          <w:szCs w:val="24"/>
        </w:rPr>
        <w:t xml:space="preserve">, Y., SM. Li, RD. Warner, ZX. Fang. 2020. Effect of oregano essential oil and resveratrol </w:t>
      </w:r>
      <w:proofErr w:type="spellStart"/>
      <w:r>
        <w:rPr>
          <w:rFonts w:eastAsia="Times New Roman"/>
          <w:szCs w:val="24"/>
        </w:rPr>
        <w:t>nanoemulsion</w:t>
      </w:r>
      <w:proofErr w:type="spellEnd"/>
      <w:r>
        <w:rPr>
          <w:rFonts w:eastAsia="Times New Roman"/>
          <w:szCs w:val="24"/>
        </w:rPr>
        <w:t xml:space="preserve"> loaded pectin edible coating on the preservation of pork loin in modified </w:t>
      </w:r>
      <w:r>
        <w:rPr>
          <w:rFonts w:eastAsia="Times New Roman"/>
          <w:szCs w:val="24"/>
        </w:rPr>
        <w:lastRenderedPageBreak/>
        <w:t xml:space="preserve">atmosphere packaging. Food Control, vol. 114. DOI: </w:t>
      </w:r>
      <w:hyperlink r:id="rId11">
        <w:r>
          <w:rPr>
            <w:rFonts w:eastAsia="Times New Roman"/>
            <w:szCs w:val="24"/>
          </w:rPr>
          <w:t>https://doi.org/10.1016/j.foodcont.2020.107226</w:t>
        </w:r>
      </w:hyperlink>
      <w:r>
        <w:rPr>
          <w:rFonts w:eastAsia="Times New Roman"/>
          <w:szCs w:val="24"/>
        </w:rPr>
        <w:t xml:space="preserve"> </w:t>
      </w:r>
    </w:p>
    <w:p w:rsidR="008724BF" w:rsidRDefault="008724BF" w:rsidP="008724BF">
      <w:pPr>
        <w:spacing w:line="480" w:lineRule="auto"/>
        <w:rPr>
          <w:rFonts w:eastAsia="Times New Roman"/>
          <w:szCs w:val="24"/>
        </w:rPr>
      </w:pPr>
    </w:p>
    <w:p w:rsidR="008724BF" w:rsidRDefault="008724BF" w:rsidP="008724BF">
      <w:pPr>
        <w:spacing w:line="480" w:lineRule="auto"/>
        <w:rPr>
          <w:rFonts w:eastAsia="Times New Roman"/>
          <w:szCs w:val="24"/>
        </w:rPr>
      </w:pPr>
      <w:r>
        <w:rPr>
          <w:rFonts w:eastAsia="Times New Roman"/>
          <w:szCs w:val="24"/>
        </w:rPr>
        <w:t xml:space="preserve"> </w:t>
      </w:r>
    </w:p>
    <w:p w:rsidR="008724BF" w:rsidRDefault="008724BF" w:rsidP="008724BF">
      <w:pPr>
        <w:spacing w:line="480" w:lineRule="auto"/>
        <w:rPr>
          <w:rFonts w:eastAsia="Times New Roman"/>
          <w:szCs w:val="24"/>
        </w:rPr>
      </w:pPr>
      <w:r>
        <w:rPr>
          <w:rFonts w:eastAsia="Times New Roman"/>
          <w:szCs w:val="24"/>
        </w:rPr>
        <w:t xml:space="preserve"> </w:t>
      </w:r>
    </w:p>
    <w:p w:rsidR="008724BF" w:rsidRDefault="008724BF" w:rsidP="008724BF">
      <w:pPr>
        <w:spacing w:line="480" w:lineRule="auto"/>
        <w:rPr>
          <w:rFonts w:eastAsia="Times New Roman"/>
          <w:szCs w:val="24"/>
        </w:rPr>
      </w:pPr>
    </w:p>
    <w:p w:rsidR="008724BF" w:rsidRDefault="008724BF" w:rsidP="008724BF">
      <w:pPr>
        <w:spacing w:line="480" w:lineRule="auto"/>
        <w:rPr>
          <w:rFonts w:eastAsia="Times New Roman"/>
          <w:szCs w:val="24"/>
        </w:rPr>
      </w:pPr>
    </w:p>
    <w:p w:rsidR="008724BF" w:rsidRDefault="008724BF" w:rsidP="008724BF">
      <w:pPr>
        <w:spacing w:line="480" w:lineRule="auto"/>
        <w:rPr>
          <w:rFonts w:eastAsia="Times New Roman"/>
          <w:b/>
          <w:szCs w:val="24"/>
        </w:rPr>
      </w:pPr>
    </w:p>
    <w:p w:rsidR="008724BF" w:rsidRDefault="008724BF" w:rsidP="008724BF">
      <w:pPr>
        <w:spacing w:line="480" w:lineRule="auto"/>
        <w:rPr>
          <w:rFonts w:eastAsia="Times New Roman"/>
          <w:szCs w:val="24"/>
        </w:rPr>
      </w:pPr>
    </w:p>
    <w:p w:rsidR="008724BF" w:rsidRDefault="008724BF" w:rsidP="008724BF">
      <w:pPr>
        <w:spacing w:line="480" w:lineRule="auto"/>
        <w:rPr>
          <w:rFonts w:eastAsia="Times New Roman"/>
          <w:szCs w:val="24"/>
        </w:rPr>
      </w:pPr>
    </w:p>
    <w:p w:rsidR="008724BF" w:rsidRDefault="008724BF" w:rsidP="008724BF">
      <w:pPr>
        <w:spacing w:line="480" w:lineRule="auto"/>
      </w:pPr>
    </w:p>
    <w:p w:rsidR="008724BF" w:rsidRDefault="008724BF" w:rsidP="008724BF">
      <w:pPr>
        <w:spacing w:line="480" w:lineRule="auto"/>
      </w:pPr>
      <w:r>
        <w:br w:type="page"/>
      </w:r>
    </w:p>
    <w:p w:rsidR="008724BF" w:rsidRDefault="008724BF" w:rsidP="008724BF">
      <w:pPr>
        <w:spacing w:line="480" w:lineRule="auto"/>
      </w:pPr>
    </w:p>
    <w:p w:rsidR="005F6F1F" w:rsidRPr="000657FA" w:rsidRDefault="005F6F1F" w:rsidP="008724BF">
      <w:pPr>
        <w:spacing w:line="480" w:lineRule="auto"/>
      </w:pPr>
    </w:p>
    <w:sectPr w:rsidR="005F6F1F" w:rsidRPr="000657FA" w:rsidSect="005F6F1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A0034" w:rsidRDefault="008A0034">
      <w:r>
        <w:separator/>
      </w:r>
    </w:p>
  </w:endnote>
  <w:endnote w:type="continuationSeparator" w:id="0">
    <w:p w:rsidR="008A0034" w:rsidRDefault="008A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A0034" w:rsidRDefault="008A0034">
      <w:r>
        <w:separator/>
      </w:r>
    </w:p>
  </w:footnote>
  <w:footnote w:type="continuationSeparator" w:id="0">
    <w:p w:rsidR="008A0034" w:rsidRDefault="008A0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11D40" w:rsidRPr="00DF7B97" w:rsidRDefault="008724BF" w:rsidP="005F6F1F">
    <w:pPr>
      <w:spacing w:line="480" w:lineRule="auto"/>
      <w:contextualSpacing/>
      <w:jc w:val="right"/>
      <w:rPr>
        <w:lang w:val="en-GB"/>
      </w:rPr>
    </w:pPr>
    <w:r>
      <w:rPr>
        <w:lang w:val="en-GB"/>
      </w:rPr>
      <w:t xml:space="preserve"> FUNGAL CONTROL</w:t>
    </w:r>
    <w:r w:rsidR="00A11D40">
      <w:rPr>
        <w:lang w:val="en-GB"/>
      </w:rPr>
      <w:t xml:space="preserve">   </w:t>
    </w:r>
    <w:r w:rsidR="00A11D40">
      <w:fldChar w:fldCharType="begin"/>
    </w:r>
    <w:r w:rsidR="00A11D40">
      <w:instrText xml:space="preserve"> PAGE   \* MERGEFORMAT </w:instrText>
    </w:r>
    <w:r w:rsidR="00A11D40">
      <w:fldChar w:fldCharType="separate"/>
    </w:r>
    <w:r>
      <w:rPr>
        <w:noProof/>
      </w:rPr>
      <w:t>5</w:t>
    </w:r>
    <w:r w:rsidR="00A11D4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B6C31"/>
    <w:multiLevelType w:val="hybridMultilevel"/>
    <w:tmpl w:val="D528DBEC"/>
    <w:lvl w:ilvl="0" w:tplc="A56CAE32">
      <w:start w:val="1"/>
      <w:numFmt w:val="upperRoman"/>
      <w:pStyle w:val="Heading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7A29E7"/>
    <w:multiLevelType w:val="hybridMultilevel"/>
    <w:tmpl w:val="08144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E34C91"/>
    <w:multiLevelType w:val="hybridMultilevel"/>
    <w:tmpl w:val="5DE47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995146"/>
    <w:multiLevelType w:val="hybridMultilevel"/>
    <w:tmpl w:val="379E23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B00E68"/>
    <w:multiLevelType w:val="hybridMultilevel"/>
    <w:tmpl w:val="2D440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removePersonalInformation/>
  <w:removeDateAndTime/>
  <w:proofState w:spelling="clean" w:grammar="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F1F"/>
    <w:rsid w:val="001717C5"/>
    <w:rsid w:val="00277E57"/>
    <w:rsid w:val="00295976"/>
    <w:rsid w:val="005F6F1F"/>
    <w:rsid w:val="007A25FA"/>
    <w:rsid w:val="008724BF"/>
    <w:rsid w:val="00897E1B"/>
    <w:rsid w:val="008A0034"/>
    <w:rsid w:val="00977B55"/>
    <w:rsid w:val="009A66EC"/>
    <w:rsid w:val="009B3876"/>
    <w:rsid w:val="009C02E5"/>
    <w:rsid w:val="00A11D40"/>
    <w:rsid w:val="00A35746"/>
    <w:rsid w:val="00A51BD8"/>
    <w:rsid w:val="00A57694"/>
    <w:rsid w:val="00AD0DC0"/>
    <w:rsid w:val="00B67D0A"/>
    <w:rsid w:val="00BF2630"/>
    <w:rsid w:val="00C25160"/>
    <w:rsid w:val="00C42EBA"/>
    <w:rsid w:val="00C61B7F"/>
    <w:rsid w:val="00DD2864"/>
    <w:rsid w:val="00EB303D"/>
    <w:rsid w:val="00F3107D"/>
    <w:rsid w:val="00F434FF"/>
    <w:rsid w:val="00FB3F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F1F"/>
    <w:rPr>
      <w:rFonts w:ascii="Times New Roman" w:hAnsi="Times New Roman"/>
      <w:sz w:val="24"/>
      <w:szCs w:val="22"/>
      <w:lang w:val="en-US" w:eastAsia="en-US"/>
    </w:rPr>
  </w:style>
  <w:style w:type="paragraph" w:styleId="Heading1">
    <w:name w:val="heading 1"/>
    <w:basedOn w:val="ListParagraph"/>
    <w:next w:val="Normal"/>
    <w:link w:val="Heading1Char"/>
    <w:uiPriority w:val="9"/>
    <w:qFormat/>
    <w:rsid w:val="005F6F1F"/>
    <w:pPr>
      <w:numPr>
        <w:numId w:val="1"/>
      </w:numPr>
      <w:spacing w:line="480" w:lineRule="auto"/>
      <w:jc w:val="center"/>
      <w:outlineLvl w:val="0"/>
    </w:pPr>
  </w:style>
  <w:style w:type="paragraph" w:styleId="Heading2">
    <w:name w:val="heading 2"/>
    <w:basedOn w:val="ListParagraph"/>
    <w:next w:val="Normal"/>
    <w:link w:val="Heading2Char"/>
    <w:uiPriority w:val="9"/>
    <w:unhideWhenUsed/>
    <w:qFormat/>
    <w:rsid w:val="005F6F1F"/>
    <w:pPr>
      <w:spacing w:line="480" w:lineRule="auto"/>
      <w:ind w:left="0"/>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F6F1F"/>
    <w:rPr>
      <w:rFonts w:ascii="Times New Roman" w:eastAsia="Calibri" w:hAnsi="Times New Roman" w:cs="Times New Roman"/>
      <w:sz w:val="24"/>
      <w:lang w:val="en-US"/>
    </w:rPr>
  </w:style>
  <w:style w:type="character" w:customStyle="1" w:styleId="Heading2Char">
    <w:name w:val="Heading 2 Char"/>
    <w:link w:val="Heading2"/>
    <w:uiPriority w:val="9"/>
    <w:rsid w:val="005F6F1F"/>
    <w:rPr>
      <w:rFonts w:ascii="Times New Roman" w:eastAsia="Calibri" w:hAnsi="Times New Roman" w:cs="Times New Roman"/>
      <w:sz w:val="24"/>
      <w:lang w:val="en-US"/>
    </w:rPr>
  </w:style>
  <w:style w:type="character" w:styleId="Hyperlink">
    <w:name w:val="Hyperlink"/>
    <w:uiPriority w:val="99"/>
    <w:unhideWhenUsed/>
    <w:rsid w:val="005F6F1F"/>
    <w:rPr>
      <w:color w:val="0000FF"/>
      <w:u w:val="single"/>
    </w:rPr>
  </w:style>
  <w:style w:type="paragraph" w:styleId="ListParagraph">
    <w:name w:val="List Paragraph"/>
    <w:basedOn w:val="Normal"/>
    <w:uiPriority w:val="34"/>
    <w:qFormat/>
    <w:rsid w:val="005F6F1F"/>
    <w:pPr>
      <w:ind w:left="720"/>
    </w:pPr>
  </w:style>
  <w:style w:type="paragraph" w:styleId="TOCHeading">
    <w:name w:val="TOC Heading"/>
    <w:basedOn w:val="Heading1"/>
    <w:next w:val="Normal"/>
    <w:uiPriority w:val="39"/>
    <w:unhideWhenUsed/>
    <w:qFormat/>
    <w:rsid w:val="005F6F1F"/>
    <w:pPr>
      <w:keepNext/>
      <w:keepLines/>
      <w:numPr>
        <w:numId w:val="0"/>
      </w:numPr>
      <w:spacing w:before="480" w:line="276" w:lineRule="auto"/>
      <w:jc w:val="left"/>
      <w:outlineLvl w:val="9"/>
    </w:pPr>
    <w:rPr>
      <w:rFonts w:ascii="Cambria" w:eastAsia="Times New Roman" w:hAnsi="Cambria"/>
      <w:b/>
      <w:bCs/>
      <w:color w:val="365F91"/>
      <w:sz w:val="28"/>
      <w:szCs w:val="28"/>
      <w:lang w:eastAsia="ja-JP"/>
    </w:rPr>
  </w:style>
  <w:style w:type="paragraph" w:styleId="TOC1">
    <w:name w:val="toc 1"/>
    <w:basedOn w:val="Normal"/>
    <w:next w:val="Normal"/>
    <w:autoRedefine/>
    <w:uiPriority w:val="39"/>
    <w:unhideWhenUsed/>
    <w:rsid w:val="005F6F1F"/>
    <w:pPr>
      <w:spacing w:after="100"/>
    </w:pPr>
  </w:style>
  <w:style w:type="paragraph" w:styleId="TOC2">
    <w:name w:val="toc 2"/>
    <w:basedOn w:val="Normal"/>
    <w:next w:val="Normal"/>
    <w:autoRedefine/>
    <w:uiPriority w:val="39"/>
    <w:unhideWhenUsed/>
    <w:rsid w:val="005F6F1F"/>
    <w:pPr>
      <w:spacing w:after="100"/>
      <w:ind w:left="240"/>
    </w:pPr>
  </w:style>
  <w:style w:type="table" w:styleId="TableGrid">
    <w:name w:val="Table Grid"/>
    <w:basedOn w:val="TableNormal"/>
    <w:uiPriority w:val="59"/>
    <w:rsid w:val="005F6F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F6F1F"/>
    <w:rPr>
      <w:rFonts w:ascii="Tahoma" w:hAnsi="Tahoma" w:cs="Tahoma"/>
      <w:sz w:val="16"/>
      <w:szCs w:val="16"/>
    </w:rPr>
  </w:style>
  <w:style w:type="character" w:customStyle="1" w:styleId="BalloonTextChar">
    <w:name w:val="Balloon Text Char"/>
    <w:link w:val="BalloonText"/>
    <w:uiPriority w:val="99"/>
    <w:semiHidden/>
    <w:rsid w:val="005F6F1F"/>
    <w:rPr>
      <w:rFonts w:ascii="Tahoma" w:eastAsia="Calibri" w:hAnsi="Tahoma" w:cs="Tahoma"/>
      <w:sz w:val="16"/>
      <w:szCs w:val="16"/>
      <w:lang w:val="en-US"/>
    </w:rPr>
  </w:style>
  <w:style w:type="paragraph" w:styleId="Header">
    <w:name w:val="header"/>
    <w:basedOn w:val="Normal"/>
    <w:link w:val="HeaderChar"/>
    <w:uiPriority w:val="99"/>
    <w:unhideWhenUsed/>
    <w:rsid w:val="00DD2864"/>
    <w:pPr>
      <w:tabs>
        <w:tab w:val="center" w:pos="4680"/>
        <w:tab w:val="right" w:pos="9360"/>
      </w:tabs>
    </w:pPr>
  </w:style>
  <w:style w:type="character" w:customStyle="1" w:styleId="HeaderChar">
    <w:name w:val="Header Char"/>
    <w:link w:val="Header"/>
    <w:uiPriority w:val="99"/>
    <w:rsid w:val="00DD2864"/>
    <w:rPr>
      <w:rFonts w:ascii="Times New Roman" w:hAnsi="Times New Roman"/>
      <w:sz w:val="24"/>
      <w:szCs w:val="22"/>
    </w:rPr>
  </w:style>
  <w:style w:type="paragraph" w:styleId="Footer">
    <w:name w:val="footer"/>
    <w:basedOn w:val="Normal"/>
    <w:link w:val="FooterChar"/>
    <w:uiPriority w:val="99"/>
    <w:unhideWhenUsed/>
    <w:rsid w:val="00DD2864"/>
    <w:pPr>
      <w:tabs>
        <w:tab w:val="center" w:pos="4680"/>
        <w:tab w:val="right" w:pos="9360"/>
      </w:tabs>
    </w:pPr>
  </w:style>
  <w:style w:type="character" w:customStyle="1" w:styleId="FooterChar">
    <w:name w:val="Footer Char"/>
    <w:link w:val="Footer"/>
    <w:uiPriority w:val="99"/>
    <w:rsid w:val="00DD2864"/>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626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ezproxy.macewan.ca/10.1016/j.foodcont.2017.01.001"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doi-org.ezproxy.macewan.ca/10.1016/j.foodcont.2020.107226" TargetMode="External" /><Relationship Id="rId5" Type="http://schemas.openxmlformats.org/officeDocument/2006/relationships/webSettings" Target="webSettings.xml" /><Relationship Id="rId10" Type="http://schemas.openxmlformats.org/officeDocument/2006/relationships/hyperlink" Target="https://doi-org.ezproxy.macewan.ca/10.1016/j.foodchem.2020.127268" TargetMode="External" /><Relationship Id="rId4" Type="http://schemas.openxmlformats.org/officeDocument/2006/relationships/settings" Target="settings.xml" /><Relationship Id="rId9" Type="http://schemas.openxmlformats.org/officeDocument/2006/relationships/hyperlink" Target="https://dx.doi.org/10.1534%2Fgenetics.111.135731"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65BFC7F-AECD-402B-946D-9225CA16A95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Links>
    <vt:vector size="24" baseType="variant">
      <vt:variant>
        <vt:i4>1441808</vt:i4>
      </vt:variant>
      <vt:variant>
        <vt:i4>9</vt:i4>
      </vt:variant>
      <vt:variant>
        <vt:i4>0</vt:i4>
      </vt:variant>
      <vt:variant>
        <vt:i4>5</vt:i4>
      </vt:variant>
      <vt:variant>
        <vt:lpwstr>https://doi-org.ezproxy.macewan.ca/10.1016/j.foodcont.2020.107226</vt:lpwstr>
      </vt:variant>
      <vt:variant>
        <vt:lpwstr/>
      </vt:variant>
      <vt:variant>
        <vt:i4>1638412</vt:i4>
      </vt:variant>
      <vt:variant>
        <vt:i4>6</vt:i4>
      </vt:variant>
      <vt:variant>
        <vt:i4>0</vt:i4>
      </vt:variant>
      <vt:variant>
        <vt:i4>5</vt:i4>
      </vt:variant>
      <vt:variant>
        <vt:lpwstr>https://doi-org.ezproxy.macewan.ca/10.1016/j.foodchem.2020.127268</vt:lpwstr>
      </vt:variant>
      <vt:variant>
        <vt:lpwstr/>
      </vt:variant>
      <vt:variant>
        <vt:i4>5898314</vt:i4>
      </vt:variant>
      <vt:variant>
        <vt:i4>3</vt:i4>
      </vt:variant>
      <vt:variant>
        <vt:i4>0</vt:i4>
      </vt:variant>
      <vt:variant>
        <vt:i4>5</vt:i4>
      </vt:variant>
      <vt:variant>
        <vt:lpwstr>https://dx.doi.org/10.1534%2Fgenetics.111.135731</vt:lpwstr>
      </vt:variant>
      <vt:variant>
        <vt:lpwstr/>
      </vt:variant>
      <vt:variant>
        <vt:i4>720912</vt:i4>
      </vt:variant>
      <vt:variant>
        <vt:i4>0</vt:i4>
      </vt:variant>
      <vt:variant>
        <vt:i4>0</vt:i4>
      </vt:variant>
      <vt:variant>
        <vt:i4>5</vt:i4>
      </vt:variant>
      <vt:variant>
        <vt:lpwstr>https://doi-org.ezproxy.macewan.ca/10.1016/j.foodcont.2017.01.001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2020-12-06T14:48:00Z</dcterms:created>
  <dcterms:modified xsi:type="dcterms:W3CDTF">2020-12-06T14:48:00Z</dcterms:modified>
</cp:coreProperties>
</file>